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50" w:rsidRPr="00726699" w:rsidRDefault="00194E50" w:rsidP="00F8362A">
      <w:pPr>
        <w:jc w:val="both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p w:rsidR="00B978F7" w:rsidRPr="00726699" w:rsidRDefault="00B978F7" w:rsidP="00F8362A">
      <w:pPr>
        <w:pStyle w:val="Title"/>
        <w:rPr>
          <w:rFonts w:ascii="Arial" w:hAnsi="Arial" w:cs="Arial"/>
          <w:sz w:val="22"/>
          <w:szCs w:val="22"/>
        </w:rPr>
      </w:pPr>
      <w:r w:rsidRPr="00726699">
        <w:rPr>
          <w:rFonts w:ascii="Arial" w:hAnsi="Arial" w:cs="Arial"/>
          <w:sz w:val="22"/>
          <w:szCs w:val="22"/>
        </w:rPr>
        <w:t>METHODIST MINISTERS’ HOUSING SOCIETY</w:t>
      </w:r>
    </w:p>
    <w:p w:rsidR="00194E50" w:rsidRPr="00726699" w:rsidRDefault="00B978F7" w:rsidP="00F8362A">
      <w:pPr>
        <w:pStyle w:val="Title"/>
        <w:rPr>
          <w:rFonts w:ascii="Arial" w:hAnsi="Arial" w:cs="Arial"/>
          <w:sz w:val="22"/>
          <w:szCs w:val="22"/>
        </w:rPr>
      </w:pPr>
      <w:r w:rsidRPr="00726699">
        <w:rPr>
          <w:rFonts w:ascii="Arial" w:hAnsi="Arial" w:cs="Arial"/>
          <w:sz w:val="22"/>
          <w:szCs w:val="22"/>
        </w:rPr>
        <w:t>TRANSFER POLICY</w:t>
      </w:r>
    </w:p>
    <w:p w:rsidR="00F8362A" w:rsidRDefault="00F8362A" w:rsidP="00F8362A">
      <w:pPr>
        <w:pStyle w:val="Title"/>
        <w:ind w:hanging="284"/>
        <w:rPr>
          <w:rFonts w:ascii="Arial" w:hAnsi="Arial" w:cs="Arial"/>
          <w:sz w:val="22"/>
          <w:szCs w:val="22"/>
        </w:rPr>
      </w:pPr>
    </w:p>
    <w:p w:rsidR="00B978F7" w:rsidRPr="00726699" w:rsidRDefault="00B978F7" w:rsidP="00F8362A">
      <w:pPr>
        <w:pStyle w:val="Title"/>
        <w:ind w:hanging="284"/>
        <w:rPr>
          <w:rFonts w:ascii="Arial" w:hAnsi="Arial" w:cs="Arial"/>
          <w:sz w:val="22"/>
          <w:szCs w:val="22"/>
        </w:rPr>
      </w:pPr>
      <w:r w:rsidRPr="00726699">
        <w:rPr>
          <w:rFonts w:ascii="Arial" w:hAnsi="Arial" w:cs="Arial"/>
          <w:sz w:val="22"/>
          <w:szCs w:val="22"/>
        </w:rPr>
        <w:t>September 2014</w:t>
      </w:r>
    </w:p>
    <w:p w:rsidR="00B978F7" w:rsidRPr="00726699" w:rsidRDefault="00B978F7" w:rsidP="00F8362A">
      <w:pPr>
        <w:pStyle w:val="Title"/>
        <w:jc w:val="both"/>
        <w:rPr>
          <w:rFonts w:ascii="Arial" w:hAnsi="Arial" w:cs="Arial"/>
          <w:sz w:val="22"/>
          <w:szCs w:val="22"/>
        </w:rPr>
      </w:pPr>
    </w:p>
    <w:p w:rsidR="00B978F7" w:rsidRDefault="00B978F7" w:rsidP="00F8362A">
      <w:pPr>
        <w:jc w:val="both"/>
        <w:rPr>
          <w:rFonts w:ascii="Arial" w:hAnsi="Arial" w:cs="Arial"/>
          <w:sz w:val="22"/>
          <w:szCs w:val="22"/>
        </w:rPr>
      </w:pPr>
      <w:r w:rsidRPr="00726699">
        <w:rPr>
          <w:rFonts w:ascii="Arial" w:hAnsi="Arial" w:cs="Arial"/>
          <w:sz w:val="22"/>
          <w:szCs w:val="22"/>
        </w:rPr>
        <w:t xml:space="preserve">The Society recognises that tenants may want to </w:t>
      </w:r>
      <w:r w:rsidR="00194E50" w:rsidRPr="00726699">
        <w:rPr>
          <w:rFonts w:ascii="Arial" w:hAnsi="Arial" w:cs="Arial"/>
          <w:sz w:val="22"/>
          <w:szCs w:val="22"/>
        </w:rPr>
        <w:t xml:space="preserve">move. </w:t>
      </w:r>
      <w:r w:rsidRPr="00726699">
        <w:rPr>
          <w:rFonts w:ascii="Arial" w:hAnsi="Arial" w:cs="Arial"/>
          <w:sz w:val="22"/>
          <w:szCs w:val="22"/>
        </w:rPr>
        <w:t>This policy enables this to happen although the number of transfers each year will depend on the resources available.</w:t>
      </w:r>
      <w:r w:rsidR="00F8362A">
        <w:rPr>
          <w:rFonts w:ascii="Arial" w:hAnsi="Arial" w:cs="Arial"/>
          <w:sz w:val="22"/>
          <w:szCs w:val="22"/>
        </w:rPr>
        <w:t xml:space="preserve"> </w:t>
      </w:r>
    </w:p>
    <w:p w:rsidR="00F8362A" w:rsidRPr="00F8362A" w:rsidRDefault="00F8362A" w:rsidP="00F8362A">
      <w:pPr>
        <w:jc w:val="both"/>
        <w:rPr>
          <w:rFonts w:ascii="Arial" w:hAnsi="Arial" w:cs="Arial"/>
          <w:i/>
          <w:sz w:val="22"/>
          <w:szCs w:val="22"/>
        </w:rPr>
      </w:pPr>
    </w:p>
    <w:p w:rsidR="00B978F7" w:rsidRPr="00F8362A" w:rsidRDefault="005E32F8" w:rsidP="00F8362A">
      <w:pPr>
        <w:pStyle w:val="Title"/>
        <w:jc w:val="both"/>
        <w:rPr>
          <w:rFonts w:ascii="Arial" w:hAnsi="Arial" w:cs="Arial"/>
          <w:b w:val="0"/>
          <w:bCs/>
          <w:i/>
          <w:sz w:val="22"/>
          <w:szCs w:val="22"/>
        </w:rPr>
      </w:pPr>
      <w:r w:rsidRPr="00F8362A">
        <w:rPr>
          <w:rFonts w:ascii="Arial" w:hAnsi="Arial" w:cs="Arial"/>
          <w:b w:val="0"/>
          <w:bCs/>
          <w:i/>
          <w:sz w:val="22"/>
          <w:szCs w:val="22"/>
        </w:rPr>
        <w:t>Th</w:t>
      </w:r>
      <w:r w:rsidR="009B4052" w:rsidRPr="00F8362A">
        <w:rPr>
          <w:rFonts w:ascii="Arial" w:hAnsi="Arial" w:cs="Arial"/>
          <w:b w:val="0"/>
          <w:bCs/>
          <w:i/>
          <w:sz w:val="22"/>
          <w:szCs w:val="22"/>
        </w:rPr>
        <w:t xml:space="preserve">is is the latest revision of the </w:t>
      </w:r>
      <w:r w:rsidRPr="00F8362A">
        <w:rPr>
          <w:rFonts w:ascii="Arial" w:hAnsi="Arial" w:cs="Arial"/>
          <w:b w:val="0"/>
          <w:bCs/>
          <w:i/>
          <w:sz w:val="22"/>
          <w:szCs w:val="22"/>
        </w:rPr>
        <w:t xml:space="preserve">policy </w:t>
      </w:r>
      <w:r w:rsidR="009B4052" w:rsidRPr="00F8362A">
        <w:rPr>
          <w:rFonts w:ascii="Arial" w:hAnsi="Arial" w:cs="Arial"/>
          <w:b w:val="0"/>
          <w:bCs/>
          <w:i/>
          <w:sz w:val="22"/>
          <w:szCs w:val="22"/>
        </w:rPr>
        <w:t xml:space="preserve">which </w:t>
      </w:r>
      <w:r w:rsidRPr="00F8362A">
        <w:rPr>
          <w:rFonts w:ascii="Arial" w:hAnsi="Arial" w:cs="Arial"/>
          <w:b w:val="0"/>
          <w:bCs/>
          <w:i/>
          <w:sz w:val="22"/>
          <w:szCs w:val="22"/>
        </w:rPr>
        <w:t xml:space="preserve">was agreed in May 2004, revised in April 2009, </w:t>
      </w:r>
      <w:r w:rsidR="009B4052" w:rsidRPr="00F8362A">
        <w:rPr>
          <w:rFonts w:ascii="Arial" w:hAnsi="Arial" w:cs="Arial"/>
          <w:b w:val="0"/>
          <w:bCs/>
          <w:i/>
          <w:sz w:val="22"/>
          <w:szCs w:val="22"/>
        </w:rPr>
        <w:t xml:space="preserve">and </w:t>
      </w:r>
      <w:r w:rsidRPr="00F8362A">
        <w:rPr>
          <w:rFonts w:ascii="Arial" w:hAnsi="Arial" w:cs="Arial"/>
          <w:b w:val="0"/>
          <w:bCs/>
          <w:i/>
          <w:sz w:val="22"/>
          <w:szCs w:val="22"/>
        </w:rPr>
        <w:t>August 2012</w:t>
      </w:r>
      <w:r w:rsidR="009B4052" w:rsidRPr="00F8362A">
        <w:rPr>
          <w:rFonts w:ascii="Arial" w:hAnsi="Arial" w:cs="Arial"/>
          <w:b w:val="0"/>
          <w:bCs/>
          <w:i/>
          <w:sz w:val="22"/>
          <w:szCs w:val="22"/>
        </w:rPr>
        <w:t>.</w:t>
      </w:r>
    </w:p>
    <w:p w:rsidR="009B4052" w:rsidRDefault="009B4052" w:rsidP="00F8362A">
      <w:pPr>
        <w:pStyle w:val="Title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B978F7" w:rsidRPr="00726699" w:rsidRDefault="00B978F7" w:rsidP="00F8362A">
      <w:pPr>
        <w:pStyle w:val="Title"/>
        <w:numPr>
          <w:ilvl w:val="0"/>
          <w:numId w:val="8"/>
        </w:numPr>
        <w:ind w:left="284" w:hanging="284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726699">
        <w:rPr>
          <w:rFonts w:ascii="Arial" w:hAnsi="Arial" w:cs="Arial"/>
          <w:sz w:val="22"/>
          <w:szCs w:val="22"/>
          <w:u w:val="single"/>
        </w:rPr>
        <w:t>Reasons for wanting a transfer</w:t>
      </w:r>
    </w:p>
    <w:p w:rsidR="00194E50" w:rsidRPr="00726699" w:rsidRDefault="00194E50" w:rsidP="00F8362A">
      <w:pPr>
        <w:pStyle w:val="Title"/>
        <w:jc w:val="both"/>
        <w:rPr>
          <w:rFonts w:ascii="Arial" w:hAnsi="Arial" w:cs="Arial"/>
          <w:b w:val="0"/>
          <w:bCs/>
          <w:sz w:val="22"/>
          <w:szCs w:val="22"/>
          <w:u w:val="single"/>
        </w:rPr>
      </w:pPr>
    </w:p>
    <w:p w:rsidR="00B978F7" w:rsidRPr="00726699" w:rsidRDefault="00B978F7" w:rsidP="00F8362A">
      <w:pPr>
        <w:pStyle w:val="Title"/>
        <w:jc w:val="both"/>
        <w:rPr>
          <w:rFonts w:ascii="Arial" w:hAnsi="Arial" w:cs="Arial"/>
          <w:b w:val="0"/>
          <w:sz w:val="22"/>
          <w:szCs w:val="22"/>
        </w:rPr>
      </w:pPr>
      <w:r w:rsidRPr="00726699">
        <w:rPr>
          <w:rFonts w:ascii="Arial" w:hAnsi="Arial" w:cs="Arial"/>
          <w:b w:val="0"/>
          <w:sz w:val="22"/>
          <w:szCs w:val="22"/>
        </w:rPr>
        <w:t>The reasons</w:t>
      </w:r>
      <w:r w:rsidR="005E32F8">
        <w:rPr>
          <w:rFonts w:ascii="Arial" w:hAnsi="Arial" w:cs="Arial"/>
          <w:b w:val="0"/>
          <w:sz w:val="22"/>
          <w:szCs w:val="22"/>
        </w:rPr>
        <w:t xml:space="preserve"> may </w:t>
      </w:r>
      <w:r w:rsidRPr="00726699">
        <w:rPr>
          <w:rFonts w:ascii="Arial" w:hAnsi="Arial" w:cs="Arial"/>
          <w:b w:val="0"/>
          <w:sz w:val="22"/>
          <w:szCs w:val="22"/>
        </w:rPr>
        <w:t>include:</w:t>
      </w:r>
    </w:p>
    <w:p w:rsidR="00194E50" w:rsidRPr="00726699" w:rsidRDefault="00194E50" w:rsidP="00F8362A">
      <w:pPr>
        <w:pStyle w:val="Title"/>
        <w:ind w:left="1134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B978F7" w:rsidRPr="00726699" w:rsidRDefault="00B978F7" w:rsidP="00F8362A">
      <w:pPr>
        <w:pStyle w:val="Title"/>
        <w:numPr>
          <w:ilvl w:val="0"/>
          <w:numId w:val="4"/>
        </w:numPr>
        <w:jc w:val="both"/>
        <w:rPr>
          <w:rFonts w:ascii="Arial" w:hAnsi="Arial" w:cs="Arial"/>
          <w:b w:val="0"/>
          <w:bCs/>
          <w:sz w:val="22"/>
          <w:szCs w:val="22"/>
        </w:rPr>
      </w:pPr>
      <w:r w:rsidRPr="00726699">
        <w:rPr>
          <w:rFonts w:ascii="Arial" w:hAnsi="Arial" w:cs="Arial"/>
          <w:b w:val="0"/>
          <w:sz w:val="22"/>
          <w:szCs w:val="22"/>
        </w:rPr>
        <w:t>The current property is too big</w:t>
      </w:r>
      <w:r w:rsidR="00194E50" w:rsidRPr="00726699">
        <w:rPr>
          <w:rFonts w:ascii="Arial" w:hAnsi="Arial" w:cs="Arial"/>
          <w:b w:val="0"/>
          <w:sz w:val="22"/>
          <w:szCs w:val="22"/>
        </w:rPr>
        <w:t>.</w:t>
      </w:r>
    </w:p>
    <w:p w:rsidR="00B978F7" w:rsidRPr="00726699" w:rsidRDefault="00B978F7" w:rsidP="00F8362A">
      <w:pPr>
        <w:pStyle w:val="Title"/>
        <w:numPr>
          <w:ilvl w:val="0"/>
          <w:numId w:val="4"/>
        </w:numPr>
        <w:jc w:val="both"/>
        <w:rPr>
          <w:rFonts w:ascii="Arial" w:hAnsi="Arial" w:cs="Arial"/>
          <w:b w:val="0"/>
          <w:bCs/>
          <w:sz w:val="22"/>
          <w:szCs w:val="22"/>
        </w:rPr>
      </w:pPr>
      <w:r w:rsidRPr="00726699">
        <w:rPr>
          <w:rFonts w:ascii="Arial" w:hAnsi="Arial" w:cs="Arial"/>
          <w:b w:val="0"/>
          <w:sz w:val="22"/>
          <w:szCs w:val="22"/>
        </w:rPr>
        <w:t>The current property is not suitable because of the medical condition of the tenant or spouse.</w:t>
      </w:r>
    </w:p>
    <w:p w:rsidR="00B978F7" w:rsidRPr="00726699" w:rsidRDefault="00B978F7" w:rsidP="00F8362A">
      <w:pPr>
        <w:pStyle w:val="Title"/>
        <w:numPr>
          <w:ilvl w:val="0"/>
          <w:numId w:val="4"/>
        </w:numPr>
        <w:jc w:val="both"/>
        <w:rPr>
          <w:rFonts w:ascii="Arial" w:hAnsi="Arial" w:cs="Arial"/>
          <w:b w:val="0"/>
          <w:bCs/>
          <w:sz w:val="22"/>
          <w:szCs w:val="22"/>
        </w:rPr>
      </w:pPr>
      <w:r w:rsidRPr="00726699">
        <w:rPr>
          <w:rFonts w:ascii="Arial" w:hAnsi="Arial" w:cs="Arial"/>
          <w:b w:val="0"/>
          <w:sz w:val="22"/>
          <w:szCs w:val="22"/>
        </w:rPr>
        <w:t>The location of the current property is not suitable as the family who provide support live too far away.</w:t>
      </w:r>
    </w:p>
    <w:p w:rsidR="00B978F7" w:rsidRPr="00726699" w:rsidRDefault="00B978F7" w:rsidP="00F8362A">
      <w:pPr>
        <w:pStyle w:val="Title"/>
        <w:numPr>
          <w:ilvl w:val="0"/>
          <w:numId w:val="4"/>
        </w:numPr>
        <w:jc w:val="both"/>
        <w:rPr>
          <w:rFonts w:ascii="Arial" w:hAnsi="Arial" w:cs="Arial"/>
          <w:b w:val="0"/>
          <w:bCs/>
          <w:sz w:val="22"/>
          <w:szCs w:val="22"/>
        </w:rPr>
      </w:pPr>
      <w:r w:rsidRPr="00726699">
        <w:rPr>
          <w:rFonts w:ascii="Arial" w:hAnsi="Arial" w:cs="Arial"/>
          <w:b w:val="0"/>
          <w:sz w:val="22"/>
          <w:szCs w:val="22"/>
        </w:rPr>
        <w:t>The location of the current property is not suitable as access to shops, church or community facilities</w:t>
      </w:r>
      <w:r w:rsidR="00194E50" w:rsidRPr="00726699">
        <w:rPr>
          <w:rFonts w:ascii="Arial" w:hAnsi="Arial" w:cs="Arial"/>
          <w:b w:val="0"/>
          <w:sz w:val="22"/>
          <w:szCs w:val="22"/>
        </w:rPr>
        <w:t>,</w:t>
      </w:r>
      <w:r w:rsidRPr="00726699">
        <w:rPr>
          <w:rFonts w:ascii="Arial" w:hAnsi="Arial" w:cs="Arial"/>
          <w:b w:val="0"/>
          <w:sz w:val="22"/>
          <w:szCs w:val="22"/>
        </w:rPr>
        <w:t xml:space="preserve"> involves a journey by car and the tenant can no longer rely on this mode of transport.</w:t>
      </w:r>
    </w:p>
    <w:p w:rsidR="00B978F7" w:rsidRPr="00726699" w:rsidRDefault="00B978F7" w:rsidP="00F8362A">
      <w:pPr>
        <w:pStyle w:val="Title"/>
        <w:numPr>
          <w:ilvl w:val="0"/>
          <w:numId w:val="4"/>
        </w:numPr>
        <w:jc w:val="both"/>
        <w:rPr>
          <w:rFonts w:ascii="Arial" w:hAnsi="Arial" w:cs="Arial"/>
          <w:b w:val="0"/>
          <w:bCs/>
          <w:sz w:val="22"/>
          <w:szCs w:val="22"/>
        </w:rPr>
      </w:pPr>
      <w:r w:rsidRPr="00726699">
        <w:rPr>
          <w:rFonts w:ascii="Arial" w:hAnsi="Arial" w:cs="Arial"/>
          <w:b w:val="0"/>
          <w:sz w:val="22"/>
          <w:szCs w:val="22"/>
        </w:rPr>
        <w:t>The location of the current property is not suitable as he/she/they have not settled since retirement.</w:t>
      </w:r>
    </w:p>
    <w:p w:rsidR="00B978F7" w:rsidRPr="00726699" w:rsidRDefault="00B978F7" w:rsidP="00F8362A">
      <w:pPr>
        <w:pStyle w:val="Title"/>
        <w:numPr>
          <w:ilvl w:val="0"/>
          <w:numId w:val="4"/>
        </w:numPr>
        <w:jc w:val="both"/>
        <w:rPr>
          <w:rFonts w:ascii="Arial" w:hAnsi="Arial" w:cs="Arial"/>
          <w:b w:val="0"/>
          <w:bCs/>
          <w:sz w:val="22"/>
          <w:szCs w:val="22"/>
        </w:rPr>
      </w:pPr>
      <w:r w:rsidRPr="00726699">
        <w:rPr>
          <w:rFonts w:ascii="Arial" w:hAnsi="Arial" w:cs="Arial"/>
          <w:b w:val="0"/>
          <w:sz w:val="22"/>
          <w:szCs w:val="22"/>
        </w:rPr>
        <w:t>The location of the current property is not suitable</w:t>
      </w:r>
      <w:r w:rsidR="00194E50" w:rsidRPr="00726699">
        <w:rPr>
          <w:rFonts w:ascii="Arial" w:hAnsi="Arial" w:cs="Arial"/>
          <w:b w:val="0"/>
          <w:sz w:val="22"/>
          <w:szCs w:val="22"/>
        </w:rPr>
        <w:t>,</w:t>
      </w:r>
      <w:r w:rsidRPr="00726699">
        <w:rPr>
          <w:rFonts w:ascii="Arial" w:hAnsi="Arial" w:cs="Arial"/>
          <w:b w:val="0"/>
          <w:sz w:val="22"/>
          <w:szCs w:val="22"/>
        </w:rPr>
        <w:t xml:space="preserve"> because the spouse has found employment in another part of the country.</w:t>
      </w:r>
    </w:p>
    <w:p w:rsidR="00B978F7" w:rsidRPr="00726699" w:rsidRDefault="00B978F7" w:rsidP="00F8362A">
      <w:pPr>
        <w:pStyle w:val="Title"/>
        <w:numPr>
          <w:ilvl w:val="0"/>
          <w:numId w:val="4"/>
        </w:numPr>
        <w:jc w:val="both"/>
        <w:rPr>
          <w:rFonts w:ascii="Arial" w:hAnsi="Arial" w:cs="Arial"/>
          <w:b w:val="0"/>
          <w:bCs/>
          <w:sz w:val="22"/>
          <w:szCs w:val="22"/>
        </w:rPr>
      </w:pPr>
      <w:r w:rsidRPr="00726699">
        <w:rPr>
          <w:rFonts w:ascii="Arial" w:hAnsi="Arial" w:cs="Arial"/>
          <w:b w:val="0"/>
          <w:sz w:val="22"/>
          <w:szCs w:val="22"/>
        </w:rPr>
        <w:t>The current property was the only one available at the time of retirement and was not in the area of choice.</w:t>
      </w:r>
    </w:p>
    <w:p w:rsidR="00B978F7" w:rsidRPr="00726699" w:rsidRDefault="00B978F7" w:rsidP="00F8362A">
      <w:pPr>
        <w:pStyle w:val="Title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4034E2" w:rsidRPr="00726699" w:rsidRDefault="004034E2" w:rsidP="00F8362A">
      <w:pPr>
        <w:pStyle w:val="Title"/>
        <w:jc w:val="both"/>
        <w:rPr>
          <w:rFonts w:ascii="Arial" w:hAnsi="Arial" w:cs="Arial"/>
          <w:sz w:val="22"/>
          <w:szCs w:val="22"/>
          <w:u w:val="single"/>
        </w:rPr>
      </w:pPr>
    </w:p>
    <w:p w:rsidR="00B978F7" w:rsidRPr="00726699" w:rsidRDefault="00B978F7" w:rsidP="00F8362A">
      <w:pPr>
        <w:pStyle w:val="Title"/>
        <w:numPr>
          <w:ilvl w:val="0"/>
          <w:numId w:val="8"/>
        </w:numPr>
        <w:ind w:left="284" w:hanging="284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726699">
        <w:rPr>
          <w:rFonts w:ascii="Arial" w:hAnsi="Arial" w:cs="Arial"/>
          <w:sz w:val="22"/>
          <w:szCs w:val="22"/>
          <w:u w:val="single"/>
        </w:rPr>
        <w:t>Length of Tenancy</w:t>
      </w:r>
    </w:p>
    <w:p w:rsidR="00B978F7" w:rsidRPr="00726699" w:rsidRDefault="00B978F7" w:rsidP="00F8362A">
      <w:pPr>
        <w:pStyle w:val="Title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B978F7" w:rsidRPr="00726699" w:rsidRDefault="00B978F7" w:rsidP="00F8362A">
      <w:pPr>
        <w:pStyle w:val="Title"/>
        <w:ind w:left="284"/>
        <w:jc w:val="both"/>
        <w:rPr>
          <w:rFonts w:ascii="Arial" w:hAnsi="Arial" w:cs="Arial"/>
          <w:b w:val="0"/>
          <w:bCs/>
          <w:sz w:val="22"/>
          <w:szCs w:val="22"/>
        </w:rPr>
      </w:pPr>
      <w:r w:rsidRPr="00726699">
        <w:rPr>
          <w:rFonts w:ascii="Arial" w:hAnsi="Arial" w:cs="Arial"/>
          <w:b w:val="0"/>
          <w:sz w:val="22"/>
          <w:szCs w:val="22"/>
        </w:rPr>
        <w:t>It must be documented and explained to tenants at their initial interview, that unless there is a significant change in their circumstances</w:t>
      </w:r>
      <w:r w:rsidR="00194E50" w:rsidRPr="00726699">
        <w:rPr>
          <w:rFonts w:ascii="Arial" w:hAnsi="Arial" w:cs="Arial"/>
          <w:b w:val="0"/>
          <w:sz w:val="22"/>
          <w:szCs w:val="22"/>
        </w:rPr>
        <w:t>,</w:t>
      </w:r>
      <w:r w:rsidRPr="00726699">
        <w:rPr>
          <w:rFonts w:ascii="Arial" w:hAnsi="Arial" w:cs="Arial"/>
          <w:b w:val="0"/>
          <w:sz w:val="22"/>
          <w:szCs w:val="22"/>
        </w:rPr>
        <w:t xml:space="preserve"> it is expected that they will stay in their homes for at least 10 years. However, a significant change in circumstances will override this expectation. </w:t>
      </w:r>
    </w:p>
    <w:p w:rsidR="00B978F7" w:rsidRPr="00726699" w:rsidRDefault="00B978F7" w:rsidP="00F8362A">
      <w:pPr>
        <w:pStyle w:val="Title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4034E2" w:rsidRPr="00726699" w:rsidRDefault="004034E2" w:rsidP="00F8362A">
      <w:pPr>
        <w:pStyle w:val="Title"/>
        <w:jc w:val="both"/>
        <w:rPr>
          <w:rFonts w:ascii="Arial" w:hAnsi="Arial" w:cs="Arial"/>
          <w:sz w:val="22"/>
          <w:szCs w:val="22"/>
          <w:u w:val="single"/>
        </w:rPr>
      </w:pPr>
    </w:p>
    <w:p w:rsidR="00B978F7" w:rsidRPr="00726699" w:rsidRDefault="004034E2" w:rsidP="00F8362A">
      <w:pPr>
        <w:pStyle w:val="Title"/>
        <w:numPr>
          <w:ilvl w:val="0"/>
          <w:numId w:val="8"/>
        </w:numPr>
        <w:ind w:left="284" w:hanging="284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726699">
        <w:rPr>
          <w:rFonts w:ascii="Arial" w:hAnsi="Arial" w:cs="Arial"/>
          <w:sz w:val="22"/>
          <w:szCs w:val="22"/>
          <w:u w:val="single"/>
        </w:rPr>
        <w:t>E</w:t>
      </w:r>
      <w:r w:rsidR="00B978F7" w:rsidRPr="00726699">
        <w:rPr>
          <w:rFonts w:ascii="Arial" w:hAnsi="Arial" w:cs="Arial"/>
          <w:sz w:val="22"/>
          <w:szCs w:val="22"/>
          <w:u w:val="single"/>
        </w:rPr>
        <w:t>ligibility</w:t>
      </w:r>
    </w:p>
    <w:p w:rsidR="00B978F7" w:rsidRPr="00726699" w:rsidRDefault="00B978F7" w:rsidP="00F8362A">
      <w:pPr>
        <w:pStyle w:val="Title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B978F7" w:rsidRPr="00726699" w:rsidRDefault="00B978F7" w:rsidP="00F8362A">
      <w:pPr>
        <w:pStyle w:val="Title"/>
        <w:ind w:left="284"/>
        <w:jc w:val="both"/>
        <w:rPr>
          <w:rFonts w:ascii="Arial" w:hAnsi="Arial" w:cs="Arial"/>
          <w:b w:val="0"/>
          <w:bCs/>
          <w:sz w:val="22"/>
          <w:szCs w:val="22"/>
        </w:rPr>
      </w:pPr>
      <w:r w:rsidRPr="00726699">
        <w:rPr>
          <w:rFonts w:ascii="Arial" w:hAnsi="Arial" w:cs="Arial"/>
          <w:b w:val="0"/>
          <w:sz w:val="22"/>
          <w:szCs w:val="22"/>
        </w:rPr>
        <w:t>An applicant for a transfer has to qualify for Society housing in the same way as a new applicant.  An intending transferee</w:t>
      </w:r>
      <w:r w:rsidR="004034E2" w:rsidRPr="00726699">
        <w:rPr>
          <w:rFonts w:ascii="Arial" w:hAnsi="Arial" w:cs="Arial"/>
          <w:b w:val="0"/>
          <w:sz w:val="22"/>
          <w:szCs w:val="22"/>
        </w:rPr>
        <w:t>,</w:t>
      </w:r>
      <w:r w:rsidRPr="00726699">
        <w:rPr>
          <w:rFonts w:ascii="Arial" w:hAnsi="Arial" w:cs="Arial"/>
          <w:b w:val="0"/>
          <w:sz w:val="22"/>
          <w:szCs w:val="22"/>
        </w:rPr>
        <w:t xml:space="preserve"> with resources over the current maximum allowed for new applicants will be refused</w:t>
      </w:r>
      <w:r w:rsidR="00194E50" w:rsidRPr="00726699">
        <w:rPr>
          <w:rFonts w:ascii="Arial" w:hAnsi="Arial" w:cs="Arial"/>
          <w:b w:val="0"/>
          <w:sz w:val="22"/>
          <w:szCs w:val="22"/>
        </w:rPr>
        <w:t>.</w:t>
      </w:r>
    </w:p>
    <w:p w:rsidR="00B978F7" w:rsidRPr="00726699" w:rsidRDefault="00B978F7" w:rsidP="00F8362A">
      <w:pPr>
        <w:pStyle w:val="ListParagraph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4034E2" w:rsidRPr="00726699" w:rsidRDefault="004034E2" w:rsidP="00F8362A">
      <w:pPr>
        <w:pStyle w:val="Title"/>
        <w:jc w:val="both"/>
        <w:rPr>
          <w:rFonts w:ascii="Arial" w:hAnsi="Arial" w:cs="Arial"/>
          <w:sz w:val="22"/>
          <w:szCs w:val="22"/>
          <w:u w:val="single"/>
        </w:rPr>
      </w:pPr>
    </w:p>
    <w:p w:rsidR="00B978F7" w:rsidRPr="00726699" w:rsidRDefault="00B978F7" w:rsidP="00F8362A">
      <w:pPr>
        <w:pStyle w:val="Title"/>
        <w:numPr>
          <w:ilvl w:val="0"/>
          <w:numId w:val="8"/>
        </w:numPr>
        <w:ind w:left="284" w:hanging="284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726699">
        <w:rPr>
          <w:rFonts w:ascii="Arial" w:hAnsi="Arial" w:cs="Arial"/>
          <w:sz w:val="22"/>
          <w:szCs w:val="22"/>
          <w:u w:val="single"/>
        </w:rPr>
        <w:t>Process</w:t>
      </w:r>
    </w:p>
    <w:p w:rsidR="00B978F7" w:rsidRPr="00726699" w:rsidRDefault="00B978F7" w:rsidP="00F8362A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</w:p>
    <w:p w:rsidR="00B978F7" w:rsidRPr="00726699" w:rsidRDefault="00B978F7" w:rsidP="00F8362A">
      <w:pPr>
        <w:ind w:left="284"/>
        <w:jc w:val="both"/>
        <w:rPr>
          <w:rFonts w:ascii="Arial" w:hAnsi="Arial" w:cs="Arial"/>
          <w:bCs/>
          <w:sz w:val="22"/>
          <w:szCs w:val="22"/>
        </w:rPr>
      </w:pPr>
      <w:r w:rsidRPr="00726699">
        <w:rPr>
          <w:rFonts w:ascii="Arial" w:hAnsi="Arial" w:cs="Arial"/>
          <w:bCs/>
          <w:sz w:val="22"/>
          <w:szCs w:val="22"/>
        </w:rPr>
        <w:t>Tenants wishing to transfer will contact the office and be sent a copy of the transfer policy and an “application for transfer form” to complete and return to the Society.</w:t>
      </w:r>
      <w:r w:rsidR="008B2949" w:rsidRPr="00726699">
        <w:rPr>
          <w:rFonts w:ascii="Arial" w:hAnsi="Arial" w:cs="Arial"/>
          <w:bCs/>
          <w:sz w:val="22"/>
          <w:szCs w:val="22"/>
        </w:rPr>
        <w:t xml:space="preserve"> </w:t>
      </w:r>
      <w:r w:rsidRPr="00726699">
        <w:rPr>
          <w:rFonts w:ascii="Arial" w:hAnsi="Arial" w:cs="Arial"/>
          <w:bCs/>
          <w:sz w:val="22"/>
          <w:szCs w:val="22"/>
        </w:rPr>
        <w:t>The tenants will be informed in writing</w:t>
      </w:r>
      <w:r w:rsidR="004034E2" w:rsidRPr="00726699">
        <w:rPr>
          <w:rFonts w:ascii="Arial" w:hAnsi="Arial" w:cs="Arial"/>
          <w:bCs/>
          <w:sz w:val="22"/>
          <w:szCs w:val="22"/>
        </w:rPr>
        <w:t>,</w:t>
      </w:r>
      <w:r w:rsidRPr="00726699">
        <w:rPr>
          <w:rFonts w:ascii="Arial" w:hAnsi="Arial" w:cs="Arial"/>
          <w:bCs/>
          <w:sz w:val="22"/>
          <w:szCs w:val="22"/>
        </w:rPr>
        <w:t xml:space="preserve"> whether or not they qualify for a transfer and the reasons for that decision. If the applicant is successful then their property will </w:t>
      </w:r>
      <w:r w:rsidR="00194E50" w:rsidRPr="00726699">
        <w:rPr>
          <w:rFonts w:ascii="Arial" w:hAnsi="Arial" w:cs="Arial"/>
          <w:bCs/>
          <w:sz w:val="22"/>
          <w:szCs w:val="22"/>
        </w:rPr>
        <w:t xml:space="preserve">be </w:t>
      </w:r>
      <w:r w:rsidRPr="00726699">
        <w:rPr>
          <w:rFonts w:ascii="Arial" w:hAnsi="Arial" w:cs="Arial"/>
          <w:bCs/>
          <w:sz w:val="22"/>
          <w:szCs w:val="22"/>
        </w:rPr>
        <w:t xml:space="preserve">placed on the Society’s  ‘Available Properties’ </w:t>
      </w:r>
      <w:r w:rsidR="004034E2" w:rsidRPr="00726699">
        <w:rPr>
          <w:rFonts w:ascii="Arial" w:hAnsi="Arial" w:cs="Arial"/>
          <w:bCs/>
          <w:sz w:val="22"/>
          <w:szCs w:val="22"/>
        </w:rPr>
        <w:t>l</w:t>
      </w:r>
      <w:r w:rsidRPr="00726699">
        <w:rPr>
          <w:rFonts w:ascii="Arial" w:hAnsi="Arial" w:cs="Arial"/>
          <w:bCs/>
          <w:sz w:val="22"/>
          <w:szCs w:val="22"/>
        </w:rPr>
        <w:t>ist which is circulated to all new applicants, medical retirees and transfer applicants on a regular basis.</w:t>
      </w:r>
    </w:p>
    <w:p w:rsidR="004512D2" w:rsidRPr="00726699" w:rsidRDefault="004512D2" w:rsidP="00F8362A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</w:p>
    <w:p w:rsidR="00B978F7" w:rsidRPr="00726699" w:rsidRDefault="00B978F7" w:rsidP="00F8362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726699">
        <w:rPr>
          <w:rFonts w:ascii="Arial" w:hAnsi="Arial" w:cs="Arial"/>
          <w:bCs/>
          <w:sz w:val="22"/>
          <w:szCs w:val="22"/>
        </w:rPr>
        <w:t>If the tenant chooses a house from the Society’s “available property list”</w:t>
      </w:r>
      <w:r w:rsidR="004034E2" w:rsidRPr="00726699">
        <w:rPr>
          <w:rFonts w:ascii="Arial" w:hAnsi="Arial" w:cs="Arial"/>
          <w:bCs/>
          <w:sz w:val="22"/>
          <w:szCs w:val="22"/>
        </w:rPr>
        <w:t>,</w:t>
      </w:r>
      <w:r w:rsidRPr="00726699">
        <w:rPr>
          <w:rFonts w:ascii="Arial" w:hAnsi="Arial" w:cs="Arial"/>
          <w:bCs/>
          <w:sz w:val="22"/>
          <w:szCs w:val="22"/>
        </w:rPr>
        <w:t xml:space="preserve"> then the transfer process can start at once. However, if the transferee chooses instead to have a property purchased in the area of their choice</w:t>
      </w:r>
      <w:r w:rsidR="004034E2" w:rsidRPr="00726699">
        <w:rPr>
          <w:rFonts w:ascii="Arial" w:hAnsi="Arial" w:cs="Arial"/>
          <w:bCs/>
          <w:sz w:val="22"/>
          <w:szCs w:val="22"/>
        </w:rPr>
        <w:t>,</w:t>
      </w:r>
      <w:r w:rsidRPr="00726699">
        <w:rPr>
          <w:rFonts w:ascii="Arial" w:hAnsi="Arial" w:cs="Arial"/>
          <w:bCs/>
          <w:sz w:val="22"/>
          <w:szCs w:val="22"/>
        </w:rPr>
        <w:t xml:space="preserve"> they must wait until their existing property is wanted by a new applicant or another transfer applicant. </w:t>
      </w:r>
    </w:p>
    <w:p w:rsidR="00AB6076" w:rsidRDefault="00AB6076" w:rsidP="00F8362A">
      <w:pPr>
        <w:jc w:val="both"/>
        <w:rPr>
          <w:rFonts w:ascii="Arial" w:hAnsi="Arial" w:cs="Arial"/>
          <w:bCs/>
          <w:sz w:val="22"/>
          <w:szCs w:val="22"/>
        </w:rPr>
      </w:pPr>
    </w:p>
    <w:p w:rsidR="00F8362A" w:rsidRDefault="00F8362A" w:rsidP="00F8362A">
      <w:pPr>
        <w:jc w:val="both"/>
        <w:rPr>
          <w:rFonts w:ascii="Arial" w:hAnsi="Arial" w:cs="Arial"/>
          <w:bCs/>
          <w:sz w:val="22"/>
          <w:szCs w:val="22"/>
        </w:rPr>
      </w:pPr>
    </w:p>
    <w:p w:rsidR="00F8362A" w:rsidRDefault="00F8362A" w:rsidP="00F8362A">
      <w:pPr>
        <w:jc w:val="both"/>
        <w:rPr>
          <w:rFonts w:ascii="Arial" w:hAnsi="Arial" w:cs="Arial"/>
          <w:bCs/>
          <w:sz w:val="22"/>
          <w:szCs w:val="22"/>
        </w:rPr>
      </w:pPr>
    </w:p>
    <w:p w:rsidR="00F8362A" w:rsidRDefault="00F8362A" w:rsidP="00F8362A">
      <w:pPr>
        <w:jc w:val="both"/>
        <w:rPr>
          <w:rFonts w:ascii="Arial" w:hAnsi="Arial" w:cs="Arial"/>
          <w:bCs/>
          <w:sz w:val="22"/>
          <w:szCs w:val="22"/>
        </w:rPr>
      </w:pPr>
    </w:p>
    <w:p w:rsidR="00F8362A" w:rsidRDefault="00F8362A" w:rsidP="00F8362A">
      <w:pPr>
        <w:jc w:val="both"/>
        <w:rPr>
          <w:rFonts w:ascii="Arial" w:hAnsi="Arial" w:cs="Arial"/>
          <w:bCs/>
          <w:sz w:val="22"/>
          <w:szCs w:val="22"/>
        </w:rPr>
      </w:pPr>
    </w:p>
    <w:p w:rsidR="00F8362A" w:rsidRPr="00726699" w:rsidRDefault="00F8362A" w:rsidP="00F8362A">
      <w:pPr>
        <w:jc w:val="both"/>
        <w:rPr>
          <w:rFonts w:ascii="Arial" w:hAnsi="Arial" w:cs="Arial"/>
          <w:bCs/>
          <w:sz w:val="22"/>
          <w:szCs w:val="22"/>
        </w:rPr>
      </w:pPr>
    </w:p>
    <w:p w:rsidR="00F8362A" w:rsidRDefault="00AB6076" w:rsidP="00F8362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726699">
        <w:rPr>
          <w:rFonts w:ascii="Arial" w:hAnsi="Arial" w:cs="Arial"/>
          <w:bCs/>
          <w:sz w:val="22"/>
          <w:szCs w:val="22"/>
        </w:rPr>
        <w:t xml:space="preserve">If the Chief Executive considers that one or both of the applicants has a pressing medical </w:t>
      </w:r>
      <w:r w:rsidR="005E32F8">
        <w:rPr>
          <w:rFonts w:ascii="Arial" w:hAnsi="Arial" w:cs="Arial"/>
          <w:bCs/>
          <w:sz w:val="22"/>
          <w:szCs w:val="22"/>
        </w:rPr>
        <w:t xml:space="preserve">or other </w:t>
      </w:r>
      <w:r w:rsidRPr="00726699">
        <w:rPr>
          <w:rFonts w:ascii="Arial" w:hAnsi="Arial" w:cs="Arial"/>
          <w:bCs/>
          <w:sz w:val="22"/>
          <w:szCs w:val="22"/>
        </w:rPr>
        <w:t xml:space="preserve">need for a transfer then </w:t>
      </w:r>
      <w:r w:rsidR="005E32F8">
        <w:rPr>
          <w:rFonts w:ascii="Arial" w:hAnsi="Arial" w:cs="Arial"/>
          <w:bCs/>
          <w:sz w:val="22"/>
          <w:szCs w:val="22"/>
        </w:rPr>
        <w:t xml:space="preserve">the Chief Executive </w:t>
      </w:r>
      <w:r w:rsidRPr="00726699">
        <w:rPr>
          <w:rFonts w:ascii="Arial" w:hAnsi="Arial" w:cs="Arial"/>
          <w:bCs/>
          <w:sz w:val="22"/>
          <w:szCs w:val="22"/>
        </w:rPr>
        <w:t xml:space="preserve"> will present the case to the Housing </w:t>
      </w:r>
    </w:p>
    <w:p w:rsidR="00F8362A" w:rsidRPr="00F8362A" w:rsidRDefault="00F8362A" w:rsidP="00F8362A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AB6076" w:rsidRPr="00F8362A" w:rsidRDefault="00AB6076" w:rsidP="00F8362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F8362A">
        <w:rPr>
          <w:rFonts w:ascii="Arial" w:hAnsi="Arial" w:cs="Arial"/>
          <w:bCs/>
          <w:sz w:val="22"/>
          <w:szCs w:val="22"/>
        </w:rPr>
        <w:t xml:space="preserve">Committee to make a decision and </w:t>
      </w:r>
      <w:r w:rsidR="005E32F8" w:rsidRPr="00F8362A">
        <w:rPr>
          <w:rFonts w:ascii="Arial" w:hAnsi="Arial" w:cs="Arial"/>
          <w:bCs/>
          <w:sz w:val="22"/>
          <w:szCs w:val="22"/>
        </w:rPr>
        <w:t xml:space="preserve">if approved </w:t>
      </w:r>
      <w:r w:rsidRPr="00F8362A">
        <w:rPr>
          <w:rFonts w:ascii="Arial" w:hAnsi="Arial" w:cs="Arial"/>
          <w:bCs/>
          <w:sz w:val="22"/>
          <w:szCs w:val="22"/>
        </w:rPr>
        <w:t>allow the transfer to commence before the future of applicant’s present home has been decided.</w:t>
      </w:r>
    </w:p>
    <w:p w:rsidR="00B978F7" w:rsidRPr="00726699" w:rsidRDefault="00B978F7" w:rsidP="00F8362A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</w:p>
    <w:p w:rsidR="00B978F7" w:rsidRPr="00726699" w:rsidRDefault="00B978F7" w:rsidP="00F8362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726699">
        <w:rPr>
          <w:rFonts w:ascii="Arial" w:hAnsi="Arial" w:cs="Arial"/>
          <w:bCs/>
          <w:sz w:val="22"/>
          <w:szCs w:val="22"/>
        </w:rPr>
        <w:t xml:space="preserve">However, if the tenant has been on the transfer list for 2 years and their home is not wanted by a new applicant or another transfer applicant, they will be asked to complete a new application form and their application will be reviewed by the Housing Committee and a decision made whether or not to purchase a property for them. </w:t>
      </w:r>
    </w:p>
    <w:p w:rsidR="008B2949" w:rsidRPr="00726699" w:rsidRDefault="008B2949" w:rsidP="00F8362A">
      <w:pPr>
        <w:pStyle w:val="ListParagraph"/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8B2949" w:rsidRPr="00726699" w:rsidRDefault="008B2949" w:rsidP="00F8362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726699">
        <w:rPr>
          <w:rFonts w:ascii="Arial" w:hAnsi="Arial" w:cs="Arial"/>
          <w:bCs/>
          <w:sz w:val="22"/>
          <w:szCs w:val="22"/>
        </w:rPr>
        <w:t>The same considerations for approving a property to purchase will apply for a transferring tenants and new applicants.</w:t>
      </w:r>
    </w:p>
    <w:p w:rsidR="00B978F7" w:rsidRPr="00726699" w:rsidRDefault="00B978F7" w:rsidP="00F8362A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</w:p>
    <w:p w:rsidR="00B978F7" w:rsidRPr="00726699" w:rsidRDefault="00B978F7" w:rsidP="00F8362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726699">
        <w:rPr>
          <w:rFonts w:ascii="Arial" w:hAnsi="Arial" w:cs="Arial"/>
          <w:bCs/>
          <w:sz w:val="22"/>
          <w:szCs w:val="22"/>
        </w:rPr>
        <w:t>A note of the number</w:t>
      </w:r>
      <w:r w:rsidR="004034E2" w:rsidRPr="00726699">
        <w:rPr>
          <w:rFonts w:ascii="Arial" w:hAnsi="Arial" w:cs="Arial"/>
          <w:bCs/>
          <w:sz w:val="22"/>
          <w:szCs w:val="22"/>
        </w:rPr>
        <w:t xml:space="preserve"> of</w:t>
      </w:r>
      <w:r w:rsidRPr="00726699">
        <w:rPr>
          <w:rFonts w:ascii="Arial" w:hAnsi="Arial" w:cs="Arial"/>
          <w:bCs/>
          <w:sz w:val="22"/>
          <w:szCs w:val="22"/>
        </w:rPr>
        <w:t xml:space="preserve"> tenants wishing to transfer and the date they applied for a transfer will be presented at Board meetings.</w:t>
      </w:r>
    </w:p>
    <w:p w:rsidR="00B978F7" w:rsidRPr="00726699" w:rsidRDefault="00B978F7" w:rsidP="00F8362A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</w:p>
    <w:p w:rsidR="004034E2" w:rsidRPr="00726699" w:rsidRDefault="004034E2" w:rsidP="00F8362A">
      <w:pPr>
        <w:pStyle w:val="Title"/>
        <w:jc w:val="both"/>
        <w:rPr>
          <w:rFonts w:ascii="Arial" w:hAnsi="Arial" w:cs="Arial"/>
          <w:sz w:val="22"/>
          <w:szCs w:val="22"/>
          <w:u w:val="single"/>
        </w:rPr>
      </w:pPr>
    </w:p>
    <w:p w:rsidR="00B978F7" w:rsidRPr="00726699" w:rsidRDefault="00B978F7" w:rsidP="00F8362A">
      <w:pPr>
        <w:pStyle w:val="Title"/>
        <w:numPr>
          <w:ilvl w:val="0"/>
          <w:numId w:val="8"/>
        </w:numPr>
        <w:tabs>
          <w:tab w:val="left" w:pos="284"/>
        </w:tabs>
        <w:ind w:hanging="72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726699">
        <w:rPr>
          <w:rFonts w:ascii="Arial" w:hAnsi="Arial" w:cs="Arial"/>
          <w:sz w:val="22"/>
          <w:szCs w:val="22"/>
          <w:u w:val="single"/>
        </w:rPr>
        <w:t>Equity Contribution</w:t>
      </w:r>
    </w:p>
    <w:p w:rsidR="00B978F7" w:rsidRPr="00726699" w:rsidRDefault="00B978F7" w:rsidP="00F8362A">
      <w:pPr>
        <w:pStyle w:val="Title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B978F7" w:rsidRPr="00726699" w:rsidRDefault="00B978F7" w:rsidP="00F8362A">
      <w:pPr>
        <w:pStyle w:val="Title"/>
        <w:ind w:left="284"/>
        <w:jc w:val="both"/>
        <w:rPr>
          <w:rFonts w:ascii="Arial" w:hAnsi="Arial" w:cs="Arial"/>
          <w:b w:val="0"/>
          <w:bCs/>
          <w:sz w:val="22"/>
          <w:szCs w:val="22"/>
        </w:rPr>
      </w:pPr>
      <w:r w:rsidRPr="00726699">
        <w:rPr>
          <w:rFonts w:ascii="Arial" w:hAnsi="Arial" w:cs="Arial"/>
          <w:b w:val="0"/>
          <w:sz w:val="22"/>
          <w:szCs w:val="22"/>
        </w:rPr>
        <w:t xml:space="preserve">The equity contribution rules will be </w:t>
      </w:r>
      <w:r w:rsidR="004034E2" w:rsidRPr="00726699">
        <w:rPr>
          <w:rFonts w:ascii="Arial" w:hAnsi="Arial" w:cs="Arial"/>
          <w:b w:val="0"/>
          <w:sz w:val="22"/>
          <w:szCs w:val="22"/>
        </w:rPr>
        <w:t xml:space="preserve">the </w:t>
      </w:r>
      <w:r w:rsidRPr="00726699">
        <w:rPr>
          <w:rFonts w:ascii="Arial" w:hAnsi="Arial" w:cs="Arial"/>
          <w:b w:val="0"/>
          <w:sz w:val="22"/>
          <w:szCs w:val="22"/>
        </w:rPr>
        <w:t xml:space="preserve">same </w:t>
      </w:r>
      <w:r w:rsidR="004034E2" w:rsidRPr="00726699">
        <w:rPr>
          <w:rFonts w:ascii="Arial" w:hAnsi="Arial" w:cs="Arial"/>
          <w:b w:val="0"/>
          <w:sz w:val="22"/>
          <w:szCs w:val="22"/>
        </w:rPr>
        <w:t xml:space="preserve">for </w:t>
      </w:r>
      <w:r w:rsidRPr="00726699">
        <w:rPr>
          <w:rFonts w:ascii="Arial" w:hAnsi="Arial" w:cs="Arial"/>
          <w:b w:val="0"/>
          <w:sz w:val="22"/>
          <w:szCs w:val="22"/>
        </w:rPr>
        <w:t>existing tenants and new applicants.</w:t>
      </w:r>
    </w:p>
    <w:p w:rsidR="00B978F7" w:rsidRPr="00726699" w:rsidRDefault="00B978F7" w:rsidP="00F8362A">
      <w:pPr>
        <w:pStyle w:val="Title"/>
        <w:ind w:left="284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B978F7" w:rsidRPr="00726699" w:rsidRDefault="00B978F7" w:rsidP="00F8362A">
      <w:pPr>
        <w:pStyle w:val="Title"/>
        <w:ind w:left="284"/>
        <w:jc w:val="both"/>
        <w:rPr>
          <w:rFonts w:ascii="Arial" w:hAnsi="Arial" w:cs="Arial"/>
          <w:b w:val="0"/>
          <w:bCs/>
          <w:sz w:val="22"/>
          <w:szCs w:val="22"/>
        </w:rPr>
      </w:pPr>
      <w:r w:rsidRPr="00726699">
        <w:rPr>
          <w:rFonts w:ascii="Arial" w:hAnsi="Arial" w:cs="Arial"/>
          <w:b w:val="0"/>
          <w:sz w:val="22"/>
          <w:szCs w:val="22"/>
        </w:rPr>
        <w:t>The Societies and transferees equity contributions will relate to the year in which the transfer commences. Depending on their assets</w:t>
      </w:r>
      <w:r w:rsidR="004034E2" w:rsidRPr="00726699">
        <w:rPr>
          <w:rFonts w:ascii="Arial" w:hAnsi="Arial" w:cs="Arial"/>
          <w:b w:val="0"/>
          <w:sz w:val="22"/>
          <w:szCs w:val="22"/>
        </w:rPr>
        <w:t>,</w:t>
      </w:r>
      <w:r w:rsidRPr="00726699">
        <w:rPr>
          <w:rFonts w:ascii="Arial" w:hAnsi="Arial" w:cs="Arial"/>
          <w:b w:val="0"/>
          <w:sz w:val="22"/>
          <w:szCs w:val="22"/>
        </w:rPr>
        <w:t xml:space="preserve"> equity may be required for tenants moving into a property either already owned by the Society or especially purchased.</w:t>
      </w:r>
      <w:r w:rsidR="008B2949" w:rsidRPr="00726699">
        <w:rPr>
          <w:rFonts w:ascii="Arial" w:hAnsi="Arial" w:cs="Arial"/>
          <w:b w:val="0"/>
          <w:sz w:val="22"/>
          <w:szCs w:val="22"/>
        </w:rPr>
        <w:t xml:space="preserve"> </w:t>
      </w:r>
      <w:r w:rsidR="004034E2" w:rsidRPr="00726699">
        <w:rPr>
          <w:rFonts w:ascii="Arial" w:hAnsi="Arial" w:cs="Arial"/>
          <w:b w:val="0"/>
          <w:sz w:val="22"/>
          <w:szCs w:val="22"/>
        </w:rPr>
        <w:t xml:space="preserve"> </w:t>
      </w:r>
      <w:r w:rsidRPr="00726699">
        <w:rPr>
          <w:rFonts w:ascii="Arial" w:hAnsi="Arial" w:cs="Arial"/>
          <w:b w:val="0"/>
          <w:sz w:val="22"/>
          <w:szCs w:val="22"/>
        </w:rPr>
        <w:t>Where a tenant holds an equity share in the current property</w:t>
      </w:r>
      <w:r w:rsidR="004034E2" w:rsidRPr="00726699">
        <w:rPr>
          <w:rFonts w:ascii="Arial" w:hAnsi="Arial" w:cs="Arial"/>
          <w:b w:val="0"/>
          <w:sz w:val="22"/>
          <w:szCs w:val="22"/>
        </w:rPr>
        <w:t>,</w:t>
      </w:r>
      <w:r w:rsidRPr="00726699">
        <w:rPr>
          <w:rFonts w:ascii="Arial" w:hAnsi="Arial" w:cs="Arial"/>
          <w:b w:val="0"/>
          <w:sz w:val="22"/>
          <w:szCs w:val="22"/>
        </w:rPr>
        <w:t xml:space="preserve"> an estimated value will be used for assessing their eligibility. The value may mean that they are required to have equity in their new property</w:t>
      </w:r>
      <w:r w:rsidR="008B2949" w:rsidRPr="00726699">
        <w:rPr>
          <w:rFonts w:ascii="Arial" w:hAnsi="Arial" w:cs="Arial"/>
          <w:b w:val="0"/>
          <w:sz w:val="22"/>
          <w:szCs w:val="22"/>
        </w:rPr>
        <w:t xml:space="preserve">. </w:t>
      </w:r>
      <w:r w:rsidRPr="00726699">
        <w:rPr>
          <w:rFonts w:ascii="Arial" w:hAnsi="Arial" w:cs="Arial"/>
          <w:b w:val="0"/>
          <w:sz w:val="22"/>
          <w:szCs w:val="22"/>
        </w:rPr>
        <w:t xml:space="preserve">An actual valuation will be obtained when a tenant has moved and depending on whether the property is sold or retained this will be either the sale price or the Society’s valuation. </w:t>
      </w:r>
    </w:p>
    <w:p w:rsidR="00B978F7" w:rsidRPr="00726699" w:rsidRDefault="00B978F7" w:rsidP="00F8362A">
      <w:pPr>
        <w:pStyle w:val="Title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4034E2" w:rsidRPr="00726699" w:rsidRDefault="004034E2" w:rsidP="00F8362A">
      <w:pPr>
        <w:pStyle w:val="Title"/>
        <w:jc w:val="both"/>
        <w:rPr>
          <w:rFonts w:ascii="Arial" w:hAnsi="Arial" w:cs="Arial"/>
          <w:sz w:val="22"/>
          <w:szCs w:val="22"/>
          <w:u w:val="single"/>
        </w:rPr>
      </w:pPr>
    </w:p>
    <w:p w:rsidR="00B978F7" w:rsidRPr="00726699" w:rsidRDefault="00B978F7" w:rsidP="00F8362A">
      <w:pPr>
        <w:pStyle w:val="Title"/>
        <w:numPr>
          <w:ilvl w:val="0"/>
          <w:numId w:val="8"/>
        </w:numPr>
        <w:ind w:left="284" w:hanging="284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726699">
        <w:rPr>
          <w:rFonts w:ascii="Arial" w:hAnsi="Arial" w:cs="Arial"/>
          <w:sz w:val="22"/>
          <w:szCs w:val="22"/>
          <w:u w:val="single"/>
        </w:rPr>
        <w:t>Society’s Resources</w:t>
      </w:r>
    </w:p>
    <w:p w:rsidR="00B978F7" w:rsidRPr="00726699" w:rsidRDefault="00B978F7" w:rsidP="00F8362A">
      <w:pPr>
        <w:pStyle w:val="Title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B978F7" w:rsidRPr="00726699" w:rsidRDefault="00B978F7" w:rsidP="00F8362A">
      <w:pPr>
        <w:pStyle w:val="Title"/>
        <w:ind w:left="284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726699">
        <w:rPr>
          <w:rFonts w:ascii="Arial" w:hAnsi="Arial" w:cs="Arial"/>
          <w:b w:val="0"/>
          <w:sz w:val="22"/>
          <w:szCs w:val="22"/>
        </w:rPr>
        <w:t xml:space="preserve">The board approves the annual budget which </w:t>
      </w:r>
      <w:r w:rsidR="004034E2" w:rsidRPr="00726699">
        <w:rPr>
          <w:rFonts w:ascii="Arial" w:hAnsi="Arial" w:cs="Arial"/>
          <w:b w:val="0"/>
          <w:sz w:val="22"/>
          <w:szCs w:val="22"/>
        </w:rPr>
        <w:t>details</w:t>
      </w:r>
      <w:r w:rsidRPr="00726699">
        <w:rPr>
          <w:rFonts w:ascii="Arial" w:hAnsi="Arial" w:cs="Arial"/>
          <w:b w:val="0"/>
          <w:sz w:val="22"/>
          <w:szCs w:val="22"/>
        </w:rPr>
        <w:t xml:space="preserve"> the estimated number of purchases, which includes properties for transferees</w:t>
      </w:r>
      <w:r w:rsidR="0051204B" w:rsidRPr="00726699">
        <w:rPr>
          <w:rFonts w:ascii="Arial" w:hAnsi="Arial" w:cs="Arial"/>
          <w:b w:val="0"/>
          <w:sz w:val="22"/>
          <w:szCs w:val="22"/>
        </w:rPr>
        <w:t>.</w:t>
      </w:r>
    </w:p>
    <w:p w:rsidR="00B978F7" w:rsidRPr="00726699" w:rsidRDefault="00B978F7" w:rsidP="00F8362A">
      <w:pPr>
        <w:pStyle w:val="Title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B978F7" w:rsidRPr="00726699" w:rsidRDefault="00B978F7" w:rsidP="00F8362A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9602A" w:rsidRPr="00726699" w:rsidRDefault="00B978F7" w:rsidP="00F8362A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726699">
        <w:rPr>
          <w:rFonts w:ascii="Arial" w:hAnsi="Arial" w:cs="Arial"/>
          <w:b/>
          <w:sz w:val="22"/>
          <w:szCs w:val="22"/>
          <w:lang w:val="en-GB"/>
        </w:rPr>
        <w:t xml:space="preserve">                                                                                                              </w:t>
      </w:r>
      <w:r w:rsidR="00F8362A">
        <w:rPr>
          <w:rFonts w:ascii="Arial" w:hAnsi="Arial" w:cs="Arial"/>
          <w:b/>
          <w:sz w:val="22"/>
          <w:szCs w:val="22"/>
          <w:lang w:val="en-GB"/>
        </w:rPr>
        <w:t xml:space="preserve">      </w:t>
      </w:r>
      <w:r w:rsidRPr="00726699">
        <w:rPr>
          <w:rFonts w:ascii="Arial" w:hAnsi="Arial" w:cs="Arial"/>
          <w:b/>
          <w:sz w:val="22"/>
          <w:szCs w:val="22"/>
          <w:lang w:val="en-GB"/>
        </w:rPr>
        <w:t>D Cattermole</w:t>
      </w:r>
    </w:p>
    <w:p w:rsidR="00B978F7" w:rsidRPr="00726699" w:rsidRDefault="00B978F7" w:rsidP="00F8362A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726699">
        <w:rPr>
          <w:rFonts w:ascii="Arial" w:hAnsi="Arial" w:cs="Arial"/>
          <w:b/>
          <w:sz w:val="22"/>
          <w:szCs w:val="22"/>
          <w:lang w:val="en-GB"/>
        </w:rPr>
        <w:t xml:space="preserve">                                                                                                               </w:t>
      </w:r>
      <w:r w:rsidR="00F8362A">
        <w:rPr>
          <w:rFonts w:ascii="Arial" w:hAnsi="Arial" w:cs="Arial"/>
          <w:b/>
          <w:sz w:val="22"/>
          <w:szCs w:val="22"/>
          <w:lang w:val="en-GB"/>
        </w:rPr>
        <w:t xml:space="preserve">     </w:t>
      </w:r>
      <w:r w:rsidRPr="00726699">
        <w:rPr>
          <w:rFonts w:ascii="Arial" w:hAnsi="Arial" w:cs="Arial"/>
          <w:b/>
          <w:sz w:val="22"/>
          <w:szCs w:val="22"/>
          <w:lang w:val="en-GB"/>
        </w:rPr>
        <w:t>Acting Chief Executive</w:t>
      </w:r>
    </w:p>
    <w:p w:rsidR="00B978F7" w:rsidRPr="00726699" w:rsidRDefault="00B978F7" w:rsidP="00F8362A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726699">
        <w:rPr>
          <w:rFonts w:ascii="Arial" w:hAnsi="Arial" w:cs="Arial"/>
          <w:b/>
          <w:sz w:val="22"/>
          <w:szCs w:val="22"/>
          <w:lang w:val="en-GB"/>
        </w:rPr>
        <w:t xml:space="preserve">                                                                                                               </w:t>
      </w:r>
      <w:r w:rsidR="00F8362A">
        <w:rPr>
          <w:rFonts w:ascii="Arial" w:hAnsi="Arial" w:cs="Arial"/>
          <w:b/>
          <w:sz w:val="22"/>
          <w:szCs w:val="22"/>
          <w:lang w:val="en-GB"/>
        </w:rPr>
        <w:t xml:space="preserve">     </w:t>
      </w:r>
      <w:r w:rsidRPr="00726699">
        <w:rPr>
          <w:rFonts w:ascii="Arial" w:hAnsi="Arial" w:cs="Arial"/>
          <w:b/>
          <w:sz w:val="22"/>
          <w:szCs w:val="22"/>
          <w:lang w:val="en-GB"/>
        </w:rPr>
        <w:t>September 2014</w:t>
      </w:r>
    </w:p>
    <w:p w:rsidR="00F8362A" w:rsidRPr="00726699" w:rsidRDefault="00F8362A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sectPr w:rsidR="00F8362A" w:rsidRPr="00726699" w:rsidSect="004034E2">
      <w:footerReference w:type="default" r:id="rId9"/>
      <w:pgSz w:w="11909" w:h="16834" w:code="9"/>
      <w:pgMar w:top="0" w:right="994" w:bottom="993" w:left="1418" w:header="1080" w:footer="706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E93" w:rsidRDefault="001C4E93">
      <w:r>
        <w:separator/>
      </w:r>
    </w:p>
  </w:endnote>
  <w:endnote w:type="continuationSeparator" w:id="0">
    <w:p w:rsidR="001C4E93" w:rsidRDefault="001C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43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165B2" w:rsidRPr="004512D2" w:rsidRDefault="00F165B2">
        <w:pPr>
          <w:pStyle w:val="Footer"/>
          <w:jc w:val="right"/>
          <w:rPr>
            <w:rFonts w:ascii="Arial" w:hAnsi="Arial" w:cs="Arial"/>
          </w:rPr>
        </w:pPr>
        <w:r w:rsidRPr="004512D2">
          <w:rPr>
            <w:rFonts w:ascii="Arial" w:hAnsi="Arial" w:cs="Arial"/>
          </w:rPr>
          <w:fldChar w:fldCharType="begin"/>
        </w:r>
        <w:r w:rsidRPr="004512D2">
          <w:rPr>
            <w:rFonts w:ascii="Arial" w:hAnsi="Arial" w:cs="Arial"/>
          </w:rPr>
          <w:instrText xml:space="preserve"> PAGE   \* MERGEFORMAT </w:instrText>
        </w:r>
        <w:r w:rsidRPr="004512D2">
          <w:rPr>
            <w:rFonts w:ascii="Arial" w:hAnsi="Arial" w:cs="Arial"/>
          </w:rPr>
          <w:fldChar w:fldCharType="separate"/>
        </w:r>
        <w:r w:rsidR="00746777">
          <w:rPr>
            <w:rFonts w:ascii="Arial" w:hAnsi="Arial" w:cs="Arial"/>
            <w:noProof/>
          </w:rPr>
          <w:t>2</w:t>
        </w:r>
        <w:r w:rsidRPr="004512D2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E93" w:rsidRDefault="001C4E93">
      <w:r>
        <w:separator/>
      </w:r>
    </w:p>
  </w:footnote>
  <w:footnote w:type="continuationSeparator" w:id="0">
    <w:p w:rsidR="001C4E93" w:rsidRDefault="001C4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47C"/>
    <w:multiLevelType w:val="hybridMultilevel"/>
    <w:tmpl w:val="BF64F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96316"/>
    <w:multiLevelType w:val="hybridMultilevel"/>
    <w:tmpl w:val="F9EA1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126BD"/>
    <w:multiLevelType w:val="hybridMultilevel"/>
    <w:tmpl w:val="99FCC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A1286"/>
    <w:multiLevelType w:val="hybridMultilevel"/>
    <w:tmpl w:val="A6B4F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5102F"/>
    <w:multiLevelType w:val="hybridMultilevel"/>
    <w:tmpl w:val="4B846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57B46"/>
    <w:multiLevelType w:val="hybridMultilevel"/>
    <w:tmpl w:val="166A2C5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E31B6"/>
    <w:multiLevelType w:val="multilevel"/>
    <w:tmpl w:val="CCCE9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31572D4"/>
    <w:multiLevelType w:val="hybridMultilevel"/>
    <w:tmpl w:val="1F94D35E"/>
    <w:lvl w:ilvl="0" w:tplc="E74E54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46"/>
    <w:rsid w:val="00017558"/>
    <w:rsid w:val="0003318A"/>
    <w:rsid w:val="000467C0"/>
    <w:rsid w:val="0008455C"/>
    <w:rsid w:val="0009093D"/>
    <w:rsid w:val="000C60FD"/>
    <w:rsid w:val="000D6054"/>
    <w:rsid w:val="000F0185"/>
    <w:rsid w:val="00104CB2"/>
    <w:rsid w:val="0013765D"/>
    <w:rsid w:val="001604D9"/>
    <w:rsid w:val="001635E1"/>
    <w:rsid w:val="00194E50"/>
    <w:rsid w:val="001C4E93"/>
    <w:rsid w:val="001D2171"/>
    <w:rsid w:val="00267501"/>
    <w:rsid w:val="002676B9"/>
    <w:rsid w:val="00290543"/>
    <w:rsid w:val="00292040"/>
    <w:rsid w:val="002927A4"/>
    <w:rsid w:val="002B2E4B"/>
    <w:rsid w:val="002C4043"/>
    <w:rsid w:val="002D411E"/>
    <w:rsid w:val="00326CD5"/>
    <w:rsid w:val="00330774"/>
    <w:rsid w:val="003700D2"/>
    <w:rsid w:val="003C5653"/>
    <w:rsid w:val="003F3DD8"/>
    <w:rsid w:val="004034E2"/>
    <w:rsid w:val="004512D2"/>
    <w:rsid w:val="00455B7E"/>
    <w:rsid w:val="00460A6C"/>
    <w:rsid w:val="004614D5"/>
    <w:rsid w:val="00466611"/>
    <w:rsid w:val="004801DB"/>
    <w:rsid w:val="00482801"/>
    <w:rsid w:val="00487F8F"/>
    <w:rsid w:val="00497486"/>
    <w:rsid w:val="004B0506"/>
    <w:rsid w:val="004E1013"/>
    <w:rsid w:val="0051204B"/>
    <w:rsid w:val="00535EB2"/>
    <w:rsid w:val="0056695E"/>
    <w:rsid w:val="005677CD"/>
    <w:rsid w:val="0059602A"/>
    <w:rsid w:val="0059699F"/>
    <w:rsid w:val="005A3F13"/>
    <w:rsid w:val="005E32F8"/>
    <w:rsid w:val="005E4DCF"/>
    <w:rsid w:val="005F6082"/>
    <w:rsid w:val="00615F65"/>
    <w:rsid w:val="00641C56"/>
    <w:rsid w:val="00647939"/>
    <w:rsid w:val="006672AC"/>
    <w:rsid w:val="00667F71"/>
    <w:rsid w:val="00696585"/>
    <w:rsid w:val="006F62AC"/>
    <w:rsid w:val="007060CD"/>
    <w:rsid w:val="00726699"/>
    <w:rsid w:val="00746777"/>
    <w:rsid w:val="00790F6B"/>
    <w:rsid w:val="007A6214"/>
    <w:rsid w:val="00885B35"/>
    <w:rsid w:val="008B2949"/>
    <w:rsid w:val="008F4084"/>
    <w:rsid w:val="00907078"/>
    <w:rsid w:val="0091199C"/>
    <w:rsid w:val="00923789"/>
    <w:rsid w:val="00962650"/>
    <w:rsid w:val="009631CF"/>
    <w:rsid w:val="009A35EC"/>
    <w:rsid w:val="009B4052"/>
    <w:rsid w:val="009C3FFA"/>
    <w:rsid w:val="009E30F0"/>
    <w:rsid w:val="009F4899"/>
    <w:rsid w:val="00A15EC2"/>
    <w:rsid w:val="00A173E8"/>
    <w:rsid w:val="00AB1993"/>
    <w:rsid w:val="00AB3917"/>
    <w:rsid w:val="00AB6076"/>
    <w:rsid w:val="00B14F43"/>
    <w:rsid w:val="00B86146"/>
    <w:rsid w:val="00B978F7"/>
    <w:rsid w:val="00BB7C65"/>
    <w:rsid w:val="00C52C64"/>
    <w:rsid w:val="00C61307"/>
    <w:rsid w:val="00C6545D"/>
    <w:rsid w:val="00C84CB7"/>
    <w:rsid w:val="00C868BD"/>
    <w:rsid w:val="00CD6AD9"/>
    <w:rsid w:val="00CE56BC"/>
    <w:rsid w:val="00D1057A"/>
    <w:rsid w:val="00D5656D"/>
    <w:rsid w:val="00D81EAA"/>
    <w:rsid w:val="00DC6478"/>
    <w:rsid w:val="00E10ED1"/>
    <w:rsid w:val="00E229CA"/>
    <w:rsid w:val="00E557E5"/>
    <w:rsid w:val="00E7474D"/>
    <w:rsid w:val="00ED7195"/>
    <w:rsid w:val="00F165B2"/>
    <w:rsid w:val="00F5061A"/>
    <w:rsid w:val="00F727A3"/>
    <w:rsid w:val="00F8362A"/>
    <w:rsid w:val="00F92363"/>
    <w:rsid w:val="00F94CEA"/>
    <w:rsid w:val="00FA62C3"/>
    <w:rsid w:val="00FF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65D"/>
  </w:style>
  <w:style w:type="paragraph" w:styleId="Heading1">
    <w:name w:val="heading 1"/>
    <w:basedOn w:val="Normal"/>
    <w:next w:val="Normal"/>
    <w:qFormat/>
    <w:rsid w:val="0013765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3765D"/>
    <w:pPr>
      <w:keepNext/>
      <w:ind w:left="720"/>
      <w:jc w:val="both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13765D"/>
    <w:pPr>
      <w:keepNext/>
      <w:jc w:val="center"/>
      <w:outlineLvl w:val="2"/>
    </w:pPr>
    <w:rPr>
      <w:rFonts w:ascii="Arial" w:hAnsi="Arial"/>
      <w:b/>
      <w:u w:val="single"/>
      <w:lang w:val="en-GB"/>
    </w:rPr>
  </w:style>
  <w:style w:type="paragraph" w:styleId="Heading4">
    <w:name w:val="heading 4"/>
    <w:basedOn w:val="Normal"/>
    <w:next w:val="Normal"/>
    <w:qFormat/>
    <w:rsid w:val="0013765D"/>
    <w:pPr>
      <w:keepNext/>
      <w:outlineLvl w:val="3"/>
    </w:pPr>
    <w:rPr>
      <w:sz w:val="40"/>
      <w:u w:val="single"/>
    </w:rPr>
  </w:style>
  <w:style w:type="paragraph" w:styleId="Heading5">
    <w:name w:val="heading 5"/>
    <w:basedOn w:val="Normal"/>
    <w:next w:val="Normal"/>
    <w:qFormat/>
    <w:rsid w:val="0013765D"/>
    <w:pPr>
      <w:keepNext/>
      <w:outlineLvl w:val="4"/>
    </w:pPr>
    <w:rPr>
      <w:sz w:val="24"/>
      <w:u w:val="single"/>
    </w:rPr>
  </w:style>
  <w:style w:type="paragraph" w:styleId="Heading6">
    <w:name w:val="heading 6"/>
    <w:basedOn w:val="Normal"/>
    <w:next w:val="Normal"/>
    <w:qFormat/>
    <w:rsid w:val="0013765D"/>
    <w:pPr>
      <w:keepNext/>
      <w:ind w:left="1440" w:hanging="720"/>
      <w:jc w:val="right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3765D"/>
    <w:pPr>
      <w:keepNext/>
      <w:ind w:left="1440" w:hanging="720"/>
      <w:jc w:val="both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rsid w:val="0013765D"/>
    <w:pPr>
      <w:keepNext/>
      <w:outlineLvl w:val="7"/>
    </w:pPr>
    <w:rPr>
      <w:rFonts w:ascii="Arial" w:hAnsi="Arial"/>
      <w:b/>
      <w:bCs/>
      <w:iCs/>
      <w:sz w:val="22"/>
    </w:rPr>
  </w:style>
  <w:style w:type="paragraph" w:styleId="Heading9">
    <w:name w:val="heading 9"/>
    <w:basedOn w:val="Normal"/>
    <w:next w:val="Normal"/>
    <w:qFormat/>
    <w:rsid w:val="0013765D"/>
    <w:pPr>
      <w:keepNext/>
      <w:outlineLvl w:val="8"/>
    </w:pPr>
    <w:rPr>
      <w:color w:val="0000FF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76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3765D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13765D"/>
    <w:pPr>
      <w:ind w:left="144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13765D"/>
    <w:pPr>
      <w:ind w:left="1440" w:hanging="720"/>
      <w:jc w:val="both"/>
    </w:pPr>
    <w:rPr>
      <w:rFonts w:ascii="Arial" w:hAnsi="Arial"/>
      <w:sz w:val="22"/>
    </w:rPr>
  </w:style>
  <w:style w:type="paragraph" w:styleId="BodyTextIndent3">
    <w:name w:val="Body Text Indent 3"/>
    <w:basedOn w:val="Normal"/>
    <w:rsid w:val="0013765D"/>
    <w:pPr>
      <w:ind w:left="720"/>
      <w:jc w:val="both"/>
    </w:pPr>
    <w:rPr>
      <w:rFonts w:ascii="Arial" w:hAnsi="Arial"/>
      <w:sz w:val="24"/>
    </w:rPr>
  </w:style>
  <w:style w:type="paragraph" w:styleId="BodyText">
    <w:name w:val="Body Text"/>
    <w:basedOn w:val="Normal"/>
    <w:rsid w:val="0013765D"/>
    <w:rPr>
      <w:sz w:val="40"/>
    </w:rPr>
  </w:style>
  <w:style w:type="paragraph" w:styleId="BodyText2">
    <w:name w:val="Body Text 2"/>
    <w:basedOn w:val="Normal"/>
    <w:rsid w:val="0013765D"/>
    <w:rPr>
      <w:sz w:val="24"/>
    </w:rPr>
  </w:style>
  <w:style w:type="paragraph" w:styleId="Title">
    <w:name w:val="Title"/>
    <w:basedOn w:val="Normal"/>
    <w:link w:val="TitleChar"/>
    <w:qFormat/>
    <w:rsid w:val="0013765D"/>
    <w:pPr>
      <w:jc w:val="center"/>
    </w:pPr>
    <w:rPr>
      <w:b/>
      <w:sz w:val="24"/>
      <w:lang w:val="en-GB"/>
    </w:rPr>
  </w:style>
  <w:style w:type="paragraph" w:styleId="Subtitle">
    <w:name w:val="Subtitle"/>
    <w:basedOn w:val="Normal"/>
    <w:qFormat/>
    <w:rsid w:val="0013765D"/>
    <w:rPr>
      <w:b/>
      <w:sz w:val="24"/>
      <w:lang w:val="en-GB"/>
    </w:rPr>
  </w:style>
  <w:style w:type="paragraph" w:styleId="BodyText3">
    <w:name w:val="Body Text 3"/>
    <w:basedOn w:val="Normal"/>
    <w:rsid w:val="0013765D"/>
    <w:rPr>
      <w:rFonts w:ascii="Arial" w:hAnsi="Arial"/>
      <w:iCs/>
      <w:sz w:val="22"/>
    </w:rPr>
  </w:style>
  <w:style w:type="paragraph" w:customStyle="1" w:styleId="3dfe2417-f03f-40df-9af5-85d2bb8ba5b3">
    <w:name w:val="3dfe2417-f03f-40df-9af5-85d2bb8ba5b3"/>
    <w:basedOn w:val="Normal"/>
    <w:rsid w:val="00907078"/>
    <w:rPr>
      <w:rFonts w:eastAsia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26CD5"/>
  </w:style>
  <w:style w:type="table" w:customStyle="1" w:styleId="LightShading1">
    <w:name w:val="Light Shading1"/>
    <w:basedOn w:val="TableNormal"/>
    <w:uiPriority w:val="60"/>
    <w:rsid w:val="009A35EC"/>
    <w:rPr>
      <w:rFonts w:ascii="Arial" w:hAnsi="Arial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C84CB7"/>
    <w:pPr>
      <w:ind w:left="720"/>
      <w:contextualSpacing/>
    </w:pPr>
  </w:style>
  <w:style w:type="paragraph" w:styleId="NoSpacing">
    <w:name w:val="No Spacing"/>
    <w:uiPriority w:val="1"/>
    <w:qFormat/>
    <w:rsid w:val="00F727A3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911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199C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B978F7"/>
    <w:rPr>
      <w:b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65D"/>
  </w:style>
  <w:style w:type="paragraph" w:styleId="Heading1">
    <w:name w:val="heading 1"/>
    <w:basedOn w:val="Normal"/>
    <w:next w:val="Normal"/>
    <w:qFormat/>
    <w:rsid w:val="0013765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3765D"/>
    <w:pPr>
      <w:keepNext/>
      <w:ind w:left="720"/>
      <w:jc w:val="both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13765D"/>
    <w:pPr>
      <w:keepNext/>
      <w:jc w:val="center"/>
      <w:outlineLvl w:val="2"/>
    </w:pPr>
    <w:rPr>
      <w:rFonts w:ascii="Arial" w:hAnsi="Arial"/>
      <w:b/>
      <w:u w:val="single"/>
      <w:lang w:val="en-GB"/>
    </w:rPr>
  </w:style>
  <w:style w:type="paragraph" w:styleId="Heading4">
    <w:name w:val="heading 4"/>
    <w:basedOn w:val="Normal"/>
    <w:next w:val="Normal"/>
    <w:qFormat/>
    <w:rsid w:val="0013765D"/>
    <w:pPr>
      <w:keepNext/>
      <w:outlineLvl w:val="3"/>
    </w:pPr>
    <w:rPr>
      <w:sz w:val="40"/>
      <w:u w:val="single"/>
    </w:rPr>
  </w:style>
  <w:style w:type="paragraph" w:styleId="Heading5">
    <w:name w:val="heading 5"/>
    <w:basedOn w:val="Normal"/>
    <w:next w:val="Normal"/>
    <w:qFormat/>
    <w:rsid w:val="0013765D"/>
    <w:pPr>
      <w:keepNext/>
      <w:outlineLvl w:val="4"/>
    </w:pPr>
    <w:rPr>
      <w:sz w:val="24"/>
      <w:u w:val="single"/>
    </w:rPr>
  </w:style>
  <w:style w:type="paragraph" w:styleId="Heading6">
    <w:name w:val="heading 6"/>
    <w:basedOn w:val="Normal"/>
    <w:next w:val="Normal"/>
    <w:qFormat/>
    <w:rsid w:val="0013765D"/>
    <w:pPr>
      <w:keepNext/>
      <w:ind w:left="1440" w:hanging="720"/>
      <w:jc w:val="right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3765D"/>
    <w:pPr>
      <w:keepNext/>
      <w:ind w:left="1440" w:hanging="720"/>
      <w:jc w:val="both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rsid w:val="0013765D"/>
    <w:pPr>
      <w:keepNext/>
      <w:outlineLvl w:val="7"/>
    </w:pPr>
    <w:rPr>
      <w:rFonts w:ascii="Arial" w:hAnsi="Arial"/>
      <w:b/>
      <w:bCs/>
      <w:iCs/>
      <w:sz w:val="22"/>
    </w:rPr>
  </w:style>
  <w:style w:type="paragraph" w:styleId="Heading9">
    <w:name w:val="heading 9"/>
    <w:basedOn w:val="Normal"/>
    <w:next w:val="Normal"/>
    <w:qFormat/>
    <w:rsid w:val="0013765D"/>
    <w:pPr>
      <w:keepNext/>
      <w:outlineLvl w:val="8"/>
    </w:pPr>
    <w:rPr>
      <w:color w:val="0000FF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76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3765D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13765D"/>
    <w:pPr>
      <w:ind w:left="144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13765D"/>
    <w:pPr>
      <w:ind w:left="1440" w:hanging="720"/>
      <w:jc w:val="both"/>
    </w:pPr>
    <w:rPr>
      <w:rFonts w:ascii="Arial" w:hAnsi="Arial"/>
      <w:sz w:val="22"/>
    </w:rPr>
  </w:style>
  <w:style w:type="paragraph" w:styleId="BodyTextIndent3">
    <w:name w:val="Body Text Indent 3"/>
    <w:basedOn w:val="Normal"/>
    <w:rsid w:val="0013765D"/>
    <w:pPr>
      <w:ind w:left="720"/>
      <w:jc w:val="both"/>
    </w:pPr>
    <w:rPr>
      <w:rFonts w:ascii="Arial" w:hAnsi="Arial"/>
      <w:sz w:val="24"/>
    </w:rPr>
  </w:style>
  <w:style w:type="paragraph" w:styleId="BodyText">
    <w:name w:val="Body Text"/>
    <w:basedOn w:val="Normal"/>
    <w:rsid w:val="0013765D"/>
    <w:rPr>
      <w:sz w:val="40"/>
    </w:rPr>
  </w:style>
  <w:style w:type="paragraph" w:styleId="BodyText2">
    <w:name w:val="Body Text 2"/>
    <w:basedOn w:val="Normal"/>
    <w:rsid w:val="0013765D"/>
    <w:rPr>
      <w:sz w:val="24"/>
    </w:rPr>
  </w:style>
  <w:style w:type="paragraph" w:styleId="Title">
    <w:name w:val="Title"/>
    <w:basedOn w:val="Normal"/>
    <w:link w:val="TitleChar"/>
    <w:qFormat/>
    <w:rsid w:val="0013765D"/>
    <w:pPr>
      <w:jc w:val="center"/>
    </w:pPr>
    <w:rPr>
      <w:b/>
      <w:sz w:val="24"/>
      <w:lang w:val="en-GB"/>
    </w:rPr>
  </w:style>
  <w:style w:type="paragraph" w:styleId="Subtitle">
    <w:name w:val="Subtitle"/>
    <w:basedOn w:val="Normal"/>
    <w:qFormat/>
    <w:rsid w:val="0013765D"/>
    <w:rPr>
      <w:b/>
      <w:sz w:val="24"/>
      <w:lang w:val="en-GB"/>
    </w:rPr>
  </w:style>
  <w:style w:type="paragraph" w:styleId="BodyText3">
    <w:name w:val="Body Text 3"/>
    <w:basedOn w:val="Normal"/>
    <w:rsid w:val="0013765D"/>
    <w:rPr>
      <w:rFonts w:ascii="Arial" w:hAnsi="Arial"/>
      <w:iCs/>
      <w:sz w:val="22"/>
    </w:rPr>
  </w:style>
  <w:style w:type="paragraph" w:customStyle="1" w:styleId="3dfe2417-f03f-40df-9af5-85d2bb8ba5b3">
    <w:name w:val="3dfe2417-f03f-40df-9af5-85d2bb8ba5b3"/>
    <w:basedOn w:val="Normal"/>
    <w:rsid w:val="00907078"/>
    <w:rPr>
      <w:rFonts w:eastAsia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26CD5"/>
  </w:style>
  <w:style w:type="table" w:customStyle="1" w:styleId="LightShading1">
    <w:name w:val="Light Shading1"/>
    <w:basedOn w:val="TableNormal"/>
    <w:uiPriority w:val="60"/>
    <w:rsid w:val="009A35EC"/>
    <w:rPr>
      <w:rFonts w:ascii="Arial" w:hAnsi="Arial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C84CB7"/>
    <w:pPr>
      <w:ind w:left="720"/>
      <w:contextualSpacing/>
    </w:pPr>
  </w:style>
  <w:style w:type="paragraph" w:styleId="NoSpacing">
    <w:name w:val="No Spacing"/>
    <w:uiPriority w:val="1"/>
    <w:qFormat/>
    <w:rsid w:val="00F727A3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911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199C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B978F7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F5441-6AE3-40EC-B83F-910A106D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Revd Kenneth and Mrs Celia Nel</vt:lpstr>
    </vt:vector>
  </TitlesOfParts>
  <Company>MMHS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Revd Kenneth and Mrs Celia Nel</dc:title>
  <dc:creator>GNSMITH</dc:creator>
  <cp:lastModifiedBy>Subashini Umasuthan</cp:lastModifiedBy>
  <cp:revision>2</cp:revision>
  <cp:lastPrinted>2014-10-10T13:15:00Z</cp:lastPrinted>
  <dcterms:created xsi:type="dcterms:W3CDTF">2014-10-30T14:42:00Z</dcterms:created>
  <dcterms:modified xsi:type="dcterms:W3CDTF">2014-10-30T14:42:00Z</dcterms:modified>
</cp:coreProperties>
</file>